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ind w:left="-283.46456692913375" w:right="-227.5984251968498" w:firstLine="0"/>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Infraestructura y habilidades técnicas y socioemocionales, claves para mejorar la educación en los jóvenes de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283.46456692913375" w:right="-227.5984251968498"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En el día internacional de la juventud, CAF reitera su apoyo a labrar un mejor futuro para los jóvenes de la región, mediante la financiación de mejores espacios educativos, el fortalecimiento de capacidades institucionales y la generación de conocimiento para asegurar la culminación de los estudios y formar habilidades para la vida y el trabajo.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12</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agosto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Los jóvenes son una pieza fundamental para la recuperación de América Latina. Actualmente, el 60% de los jóvenes latinoamericanos (15-29 años) está fuera del sistema escolar y uno de cada cinco (23 millones, de los cuales 15 millones son mujeres) ni estudia ni trabaja (NiNis). Para avanzar en esta significativa agenda de retornos concretos en el largo plazo, CAF –banco de desarrollo de América Latina- ejecuta una agenda integral en educación dedicada a mejorar el bienestar y la competitividad de la región, focalizando en la calidad y en la pertinencia de los aprendizajes.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particular, con el propósito de incrementar el acceso a escuelas en el nivel secundario, CAF lidera el financiamiento de iniciativas como las del Programa de nueva infraestructura educativa en Ecuador, el Programa de ampliación y modernización de la infraestructura educativa en Panamá y el Programa de mejora de la calidad educativa en Jujuy, Argentina.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“Estos proyectos no sólo amplían la oferta educativa, sino que incorporan componentes que apuntan a la mejora de la calidad de los aprendizajes a partir de revisión y ajustes curriculares y pedagógicos, mejora profesional docente e incorporación de tecnologías. Con el aumento de la cobertura y la calidad de la educación ofrecemos mejores oportunidades para ayudar a construir un mejor futuro para los jóvenes de la región”, aseguró Julián Suárez Migliozzi, vicepresidente de Desarrollo Sostenible de CAF.</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también financia otros proyectos que apoyan la creación, ampliación y/o rehabilitación de infraestructura para la formación técnica y profesional como el Instituto Técnico Superior Especializado (ITSE) y el plan de transformación integral del INADEH, ambas en Panamá, que buscan crear una mejor oferta de formación para jóvenes desde el ámbito técnico y de la formación profesional. Asimismo, apoya el programa de infraestructura universitaria en Argentina y el programa de renovación de la facultad de ciencias naturales, exactas y tecnología de la universidad de Panamá que atienden la formación superior.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7.5984251968498"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Mediante las publicaciones “Políticas para promover la culminación de la educación media en América Latina y el Caribe. Lecciones desde México y Chile”, en la que se exploran causas y posibles opciones de política para contrarrestar el abandono escolar de los jóvenes; y “Educación Técnica y Formación Profesional en América Latina y el Caribe: desafíos y oportunidades”, en la que se identifican opciones de programas y políticas implementados en Latinoamérica que permiten dar opciones de formación e inserción laboral para los jóvenes desde la educación técnica y la formación profesional; CAF también contribuye a la generación de conocimiento aplicado para impulsar el desarrollo integral de los jóvenes a partir de la formación de sus habilidades.</w:t>
      </w:r>
    </w:p>
    <w:p w:rsidR="00000000" w:rsidDel="00000000" w:rsidP="00000000" w:rsidRDefault="00000000" w:rsidRPr="00000000" w14:paraId="0000000C">
      <w:pPr>
        <w:ind w:left="-283.46456692913375" w:right="-227.598425196849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ind w:left="-283.46456692913375" w:right="-227.598425196849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Fonts w:ascii="Arial Narrow" w:cs="Arial Narrow" w:eastAsia="Arial Narrow" w:hAnsi="Arial Narrow"/>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E">
      <w:pPr>
        <w:ind w:left="-283.46456692913375" w:right="-227.598425196849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0F">
      <w:pPr>
        <w:ind w:left="-283.46456692913375" w:right="-227.5984251968498"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p>
    <w:p w:rsidR="00000000" w:rsidDel="00000000" w:rsidP="00000000" w:rsidRDefault="00000000" w:rsidRPr="00000000" w14:paraId="00000010">
      <w:pPr>
        <w:ind w:left="-283.46456692913375" w:right="-227.5984251968498" w:firstLine="0"/>
        <w:jc w:val="both"/>
        <w:rPr>
          <w:rFonts w:ascii="Arial Narrow" w:cs="Arial Narrow" w:eastAsia="Arial Narrow" w:hAnsi="Arial Narrow"/>
          <w:sz w:val="18"/>
          <w:szCs w:val="18"/>
        </w:rPr>
      </w:pPr>
      <w:r w:rsidDel="00000000" w:rsidR="00000000" w:rsidRPr="00000000">
        <w:rPr>
          <w:rtl w:val="0"/>
        </w:rPr>
      </w:r>
    </w:p>
    <w:sectPr>
      <w:headerReference r:id="rId10" w:type="default"/>
      <w:pgSz w:h="15840" w:w="12240"/>
      <w:pgMar w:bottom="1417" w:top="1417" w:left="1559.055118110236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-409574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